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72" w:rsidRPr="006D5367" w:rsidRDefault="0017734A" w:rsidP="006D5367">
      <w:pPr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>НИЙСЛЭЛИЙН АЯЛАЛ ЖУУЛЧЛАЛЫН ГАЗАР</w:t>
      </w:r>
    </w:p>
    <w:p w:rsidR="005D6218" w:rsidRPr="006D5367" w:rsidRDefault="005D6218" w:rsidP="006D5367">
      <w:pPr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>Өргөдөл, гомдлын шийдвэрлэлтийн тайлан</w:t>
      </w:r>
    </w:p>
    <w:p w:rsidR="00436221" w:rsidRPr="006D5367" w:rsidRDefault="00436221" w:rsidP="006D5367">
      <w:pPr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>/201</w:t>
      </w:r>
      <w:r w:rsidR="00C12444" w:rsidRPr="006D5367">
        <w:rPr>
          <w:rFonts w:ascii="Arial" w:hAnsi="Arial" w:cs="Arial"/>
          <w:sz w:val="24"/>
          <w:szCs w:val="24"/>
        </w:rPr>
        <w:t>6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A07AB2">
        <w:rPr>
          <w:rFonts w:ascii="Arial" w:hAnsi="Arial" w:cs="Arial"/>
          <w:sz w:val="24"/>
          <w:szCs w:val="24"/>
          <w:lang w:val="mn-MN"/>
        </w:rPr>
        <w:t>жилийн эцсийн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 тайлан/</w:t>
      </w:r>
    </w:p>
    <w:p w:rsidR="00B32C80" w:rsidRPr="006D5367" w:rsidRDefault="00B32C80" w:rsidP="006D5367">
      <w:pPr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</w:p>
    <w:p w:rsidR="007E50FE" w:rsidRPr="006D5367" w:rsidRDefault="007E50FE" w:rsidP="006D5367">
      <w:pPr>
        <w:pStyle w:val="ListParagraph"/>
        <w:numPr>
          <w:ilvl w:val="0"/>
          <w:numId w:val="1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>Тус газарт 201</w:t>
      </w:r>
      <w:r w:rsidR="00C12444" w:rsidRPr="006D5367">
        <w:rPr>
          <w:rFonts w:ascii="Arial" w:hAnsi="Arial" w:cs="Arial"/>
          <w:sz w:val="24"/>
          <w:szCs w:val="24"/>
          <w:lang w:val="mn-MN"/>
        </w:rPr>
        <w:t>6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A07AB2">
        <w:rPr>
          <w:rFonts w:ascii="Arial" w:hAnsi="Arial" w:cs="Arial"/>
          <w:sz w:val="24"/>
          <w:szCs w:val="24"/>
          <w:lang w:val="mn-MN"/>
        </w:rPr>
        <w:t>жилийн эцсийн</w:t>
      </w:r>
      <w:r w:rsidR="00C12444" w:rsidRPr="006D5367">
        <w:rPr>
          <w:rFonts w:ascii="Arial" w:hAnsi="Arial" w:cs="Arial"/>
          <w:sz w:val="24"/>
          <w:szCs w:val="24"/>
          <w:lang w:val="mn-MN"/>
        </w:rPr>
        <w:t xml:space="preserve"> байдлаар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 </w:t>
      </w:r>
      <w:r w:rsidR="00A07AB2">
        <w:rPr>
          <w:rFonts w:ascii="Arial" w:hAnsi="Arial" w:cs="Arial"/>
          <w:sz w:val="24"/>
          <w:szCs w:val="24"/>
          <w:lang w:val="mn-MN"/>
        </w:rPr>
        <w:t>30</w:t>
      </w:r>
      <w:r w:rsidR="0031630B" w:rsidRPr="006D5367">
        <w:rPr>
          <w:rFonts w:ascii="Arial" w:hAnsi="Arial" w:cs="Arial"/>
          <w:sz w:val="24"/>
          <w:szCs w:val="24"/>
          <w:lang w:val="mn-MN"/>
        </w:rPr>
        <w:t xml:space="preserve"> өргөдөл</w:t>
      </w:r>
      <w:r w:rsidR="00A07AB2">
        <w:rPr>
          <w:rFonts w:ascii="Arial" w:hAnsi="Arial" w:cs="Arial"/>
          <w:sz w:val="24"/>
          <w:szCs w:val="24"/>
          <w:lang w:val="mn-MN"/>
        </w:rPr>
        <w:t>,</w:t>
      </w:r>
      <w:r w:rsidR="0031630B" w:rsidRPr="006D5367">
        <w:rPr>
          <w:rFonts w:ascii="Arial" w:hAnsi="Arial" w:cs="Arial"/>
          <w:sz w:val="24"/>
          <w:szCs w:val="24"/>
          <w:lang w:val="mn-MN"/>
        </w:rPr>
        <w:t xml:space="preserve"> гомдол ирсэн ба 201</w:t>
      </w:r>
      <w:r w:rsidR="00C12444" w:rsidRPr="006D5367">
        <w:rPr>
          <w:rFonts w:ascii="Arial" w:hAnsi="Arial" w:cs="Arial"/>
          <w:sz w:val="24"/>
          <w:szCs w:val="24"/>
          <w:lang w:val="mn-MN"/>
        </w:rPr>
        <w:t>5</w:t>
      </w:r>
      <w:r w:rsidR="0031630B" w:rsidRPr="006D5367">
        <w:rPr>
          <w:rFonts w:ascii="Arial" w:hAnsi="Arial" w:cs="Arial"/>
          <w:sz w:val="24"/>
          <w:szCs w:val="24"/>
          <w:lang w:val="mn-MN"/>
        </w:rPr>
        <w:t xml:space="preserve"> оны мөн үеийнхээс</w:t>
      </w:r>
      <w:r w:rsidR="00C12444" w:rsidRPr="006D5367">
        <w:rPr>
          <w:rFonts w:ascii="Arial" w:hAnsi="Arial" w:cs="Arial"/>
          <w:sz w:val="24"/>
          <w:szCs w:val="24"/>
          <w:lang w:val="mn-MN"/>
        </w:rPr>
        <w:t xml:space="preserve"> 7</w:t>
      </w:r>
      <w:r w:rsidR="0031630B" w:rsidRPr="006D5367">
        <w:rPr>
          <w:rFonts w:ascii="Arial" w:hAnsi="Arial" w:cs="Arial"/>
          <w:sz w:val="24"/>
          <w:szCs w:val="24"/>
          <w:lang w:val="mn-MN"/>
        </w:rPr>
        <w:t xml:space="preserve"> өр</w:t>
      </w:r>
      <w:r w:rsidR="001E381B" w:rsidRPr="006D5367">
        <w:rPr>
          <w:rFonts w:ascii="Arial" w:hAnsi="Arial" w:cs="Arial"/>
          <w:sz w:val="24"/>
          <w:szCs w:val="24"/>
          <w:lang w:val="mn-MN"/>
        </w:rPr>
        <w:t xml:space="preserve">гөдөл, гомдлоор </w:t>
      </w:r>
      <w:r w:rsidR="00C12444" w:rsidRPr="006D5367">
        <w:rPr>
          <w:rFonts w:ascii="Arial" w:hAnsi="Arial" w:cs="Arial"/>
          <w:sz w:val="24"/>
          <w:szCs w:val="24"/>
          <w:lang w:val="mn-MN"/>
        </w:rPr>
        <w:t>бага</w:t>
      </w:r>
      <w:r w:rsidR="001E381B" w:rsidRPr="006D5367">
        <w:rPr>
          <w:rFonts w:ascii="Arial" w:hAnsi="Arial" w:cs="Arial"/>
          <w:sz w:val="24"/>
          <w:szCs w:val="24"/>
          <w:lang w:val="mn-MN"/>
        </w:rPr>
        <w:t xml:space="preserve"> ирсэн нь </w:t>
      </w:r>
      <w:r w:rsidR="00C12444" w:rsidRPr="006D5367">
        <w:rPr>
          <w:rFonts w:ascii="Arial" w:hAnsi="Arial" w:cs="Arial"/>
          <w:sz w:val="24"/>
          <w:szCs w:val="24"/>
          <w:lang w:val="mn-MN"/>
        </w:rPr>
        <w:t>24.1</w:t>
      </w:r>
      <w:r w:rsidR="0031630B" w:rsidRPr="006D5367">
        <w:rPr>
          <w:rFonts w:ascii="Arial" w:hAnsi="Arial" w:cs="Arial"/>
          <w:sz w:val="24"/>
          <w:szCs w:val="24"/>
          <w:lang w:val="mn-MN"/>
        </w:rPr>
        <w:t xml:space="preserve">%-ийн </w:t>
      </w:r>
      <w:r w:rsidR="00C12444" w:rsidRPr="006D5367">
        <w:rPr>
          <w:rFonts w:ascii="Arial" w:hAnsi="Arial" w:cs="Arial"/>
          <w:sz w:val="24"/>
          <w:szCs w:val="24"/>
          <w:lang w:val="mn-MN"/>
        </w:rPr>
        <w:t>бууралтта</w:t>
      </w:r>
      <w:r w:rsidR="0031630B" w:rsidRPr="006D5367">
        <w:rPr>
          <w:rFonts w:ascii="Arial" w:hAnsi="Arial" w:cs="Arial"/>
          <w:sz w:val="24"/>
          <w:szCs w:val="24"/>
          <w:lang w:val="mn-MN"/>
        </w:rPr>
        <w:t>й харагдаж байна.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1"/>
        <w:gridCol w:w="1774"/>
        <w:gridCol w:w="1416"/>
        <w:gridCol w:w="1724"/>
        <w:gridCol w:w="1467"/>
      </w:tblGrid>
      <w:tr w:rsidR="007E50FE" w:rsidRPr="006D5367" w:rsidTr="00A60BC3">
        <w:tc>
          <w:tcPr>
            <w:tcW w:w="3191" w:type="dxa"/>
            <w:vMerge w:val="restart"/>
            <w:vAlign w:val="center"/>
          </w:tcPr>
          <w:p w:rsidR="007E50FE" w:rsidRPr="006D5367" w:rsidRDefault="007E50FE" w:rsidP="006D5367">
            <w:pPr>
              <w:spacing w:after="120" w:line="276" w:lineRule="auto"/>
              <w:ind w:firstLine="567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Үзүүлэлт</w:t>
            </w:r>
          </w:p>
        </w:tc>
        <w:tc>
          <w:tcPr>
            <w:tcW w:w="3190" w:type="dxa"/>
            <w:gridSpan w:val="2"/>
          </w:tcPr>
          <w:p w:rsidR="007E50FE" w:rsidRPr="006D5367" w:rsidRDefault="000767DD" w:rsidP="00A07AB2">
            <w:pPr>
              <w:spacing w:after="120" w:line="276" w:lineRule="auto"/>
              <w:ind w:firstLine="567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201</w:t>
            </w:r>
            <w:r w:rsidR="00C12444" w:rsidRPr="006D5367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.01.01-</w:t>
            </w:r>
            <w:r w:rsidR="00A07AB2">
              <w:rPr>
                <w:rFonts w:ascii="Arial" w:hAnsi="Arial" w:cs="Arial"/>
                <w:sz w:val="24"/>
                <w:szCs w:val="24"/>
                <w:lang w:val="mn-MN"/>
              </w:rPr>
              <w:t>12</w:t>
            </w:r>
            <w:r w:rsidR="00C12444" w:rsidRPr="006D5367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="00C12444" w:rsidRPr="006D5367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191" w:type="dxa"/>
            <w:gridSpan w:val="2"/>
          </w:tcPr>
          <w:p w:rsidR="007E50FE" w:rsidRPr="006D5367" w:rsidRDefault="007E50FE" w:rsidP="00A07AB2">
            <w:pPr>
              <w:spacing w:after="120" w:line="276" w:lineRule="auto"/>
              <w:ind w:firstLine="567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201</w:t>
            </w:r>
            <w:r w:rsidR="00C12444" w:rsidRPr="006D5367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.01.01-</w:t>
            </w:r>
            <w:r w:rsidR="00A07AB2">
              <w:rPr>
                <w:rFonts w:ascii="Arial" w:hAnsi="Arial" w:cs="Arial"/>
                <w:sz w:val="24"/>
                <w:szCs w:val="24"/>
                <w:lang w:val="mn-MN"/>
              </w:rPr>
              <w:t>12</w:t>
            </w: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0767DD" w:rsidRPr="006D5367">
              <w:rPr>
                <w:rFonts w:ascii="Arial" w:hAnsi="Arial" w:cs="Arial"/>
                <w:sz w:val="24"/>
                <w:szCs w:val="24"/>
                <w:lang w:val="mn-MN"/>
              </w:rPr>
              <w:t>25</w:t>
            </w:r>
          </w:p>
        </w:tc>
      </w:tr>
      <w:tr w:rsidR="007E50FE" w:rsidRPr="006D5367" w:rsidTr="00A60BC3">
        <w:tc>
          <w:tcPr>
            <w:tcW w:w="3191" w:type="dxa"/>
            <w:vMerge/>
          </w:tcPr>
          <w:p w:rsidR="007E50FE" w:rsidRPr="006D5367" w:rsidRDefault="007E50FE" w:rsidP="006D5367">
            <w:pPr>
              <w:spacing w:after="120" w:line="276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74" w:type="dxa"/>
          </w:tcPr>
          <w:p w:rsidR="007E50FE" w:rsidRPr="006D5367" w:rsidRDefault="007E50FE" w:rsidP="006D5367">
            <w:pPr>
              <w:spacing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Ирсэн тоо</w:t>
            </w:r>
          </w:p>
        </w:tc>
        <w:tc>
          <w:tcPr>
            <w:tcW w:w="1416" w:type="dxa"/>
          </w:tcPr>
          <w:p w:rsidR="007E50FE" w:rsidRPr="006D5367" w:rsidRDefault="007E50FE" w:rsidP="006D5367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Хувь</w:t>
            </w:r>
          </w:p>
        </w:tc>
        <w:tc>
          <w:tcPr>
            <w:tcW w:w="1724" w:type="dxa"/>
          </w:tcPr>
          <w:p w:rsidR="007E50FE" w:rsidRPr="006D5367" w:rsidRDefault="007E50FE" w:rsidP="006D5367">
            <w:pPr>
              <w:spacing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Ирсэн тоо</w:t>
            </w:r>
          </w:p>
        </w:tc>
        <w:tc>
          <w:tcPr>
            <w:tcW w:w="1467" w:type="dxa"/>
          </w:tcPr>
          <w:p w:rsidR="007E50FE" w:rsidRPr="006D5367" w:rsidRDefault="007E50FE" w:rsidP="006D5367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Хувь</w:t>
            </w:r>
          </w:p>
        </w:tc>
      </w:tr>
      <w:tr w:rsidR="00E21076" w:rsidRPr="006D5367" w:rsidTr="00A60BC3">
        <w:tc>
          <w:tcPr>
            <w:tcW w:w="3191" w:type="dxa"/>
          </w:tcPr>
          <w:p w:rsidR="00E21076" w:rsidRPr="006D5367" w:rsidRDefault="007E50FE" w:rsidP="006D5367">
            <w:pPr>
              <w:spacing w:after="120" w:line="276" w:lineRule="auto"/>
              <w:ind w:firstLine="567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Ирсэн өргөдлийн тоо</w:t>
            </w:r>
          </w:p>
        </w:tc>
        <w:tc>
          <w:tcPr>
            <w:tcW w:w="1774" w:type="dxa"/>
          </w:tcPr>
          <w:p w:rsidR="00E21076" w:rsidRPr="006D5367" w:rsidRDefault="00B10C6E" w:rsidP="006D5367">
            <w:pPr>
              <w:spacing w:after="120" w:line="276" w:lineRule="auto"/>
              <w:ind w:firstLine="567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114</w:t>
            </w:r>
          </w:p>
        </w:tc>
        <w:tc>
          <w:tcPr>
            <w:tcW w:w="1416" w:type="dxa"/>
          </w:tcPr>
          <w:p w:rsidR="00E21076" w:rsidRPr="006D5367" w:rsidRDefault="00E21076" w:rsidP="006D5367">
            <w:pPr>
              <w:spacing w:after="120" w:line="276" w:lineRule="auto"/>
              <w:ind w:firstLine="567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1724" w:type="dxa"/>
          </w:tcPr>
          <w:p w:rsidR="00E21076" w:rsidRPr="006D5367" w:rsidRDefault="00B10C6E" w:rsidP="00B10C6E">
            <w:pPr>
              <w:spacing w:after="120" w:line="276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30</w:t>
            </w:r>
          </w:p>
        </w:tc>
        <w:tc>
          <w:tcPr>
            <w:tcW w:w="1467" w:type="dxa"/>
          </w:tcPr>
          <w:p w:rsidR="00E21076" w:rsidRPr="006D5367" w:rsidRDefault="00C12444" w:rsidP="00B10C6E">
            <w:pPr>
              <w:spacing w:after="120" w:line="276" w:lineRule="auto"/>
              <w:ind w:firstLine="265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 w:rsidR="00B10C6E">
              <w:rPr>
                <w:rFonts w:ascii="Arial" w:hAnsi="Arial" w:cs="Arial"/>
                <w:sz w:val="24"/>
                <w:szCs w:val="24"/>
                <w:lang w:val="mn-MN"/>
              </w:rPr>
              <w:t>34,2</w:t>
            </w: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</w:tr>
    </w:tbl>
    <w:p w:rsidR="00A60BC3" w:rsidRPr="006D5367" w:rsidRDefault="00212882" w:rsidP="006D5367">
      <w:pPr>
        <w:spacing w:after="12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 xml:space="preserve">Өргөдөл, гомдлын тоо </w:t>
      </w:r>
      <w:r w:rsidR="00C12444" w:rsidRPr="006D5367">
        <w:rPr>
          <w:rFonts w:ascii="Arial" w:hAnsi="Arial" w:cs="Arial"/>
          <w:sz w:val="24"/>
          <w:szCs w:val="24"/>
          <w:lang w:val="mn-MN"/>
        </w:rPr>
        <w:t>буурах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 болсон шалтгаан нь </w:t>
      </w:r>
      <w:r w:rsidR="00C12444" w:rsidRPr="006D5367">
        <w:rPr>
          <w:rFonts w:ascii="Arial" w:hAnsi="Arial" w:cs="Arial"/>
          <w:sz w:val="24"/>
          <w:szCs w:val="24"/>
          <w:lang w:val="mn-MN"/>
        </w:rPr>
        <w:t>зочид буудал, дэн буудлын үйл ажиллагаа эрхлэгч иргэдийн хүсэлтийг өргөдөл, гомдлын сайтад бүртгэдэг байснаа болин ihat.ulaanbaatar.mn нэгдсэн сайтад бүртгэдэг болсноор буурах болсон.</w:t>
      </w:r>
    </w:p>
    <w:p w:rsidR="00C12444" w:rsidRPr="006D5367" w:rsidRDefault="00C12444" w:rsidP="006D5367">
      <w:pPr>
        <w:pStyle w:val="ListParagraph"/>
        <w:numPr>
          <w:ilvl w:val="0"/>
          <w:numId w:val="1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 xml:space="preserve">Тус газар нь даргын хамт 18 хүний бүтэц орон тоотой ба бүх мэргэжилтэн Smartcity.mn-д нэвтрэх эрх авсан. Тайлангийн хугацаанд </w:t>
      </w:r>
      <w:r w:rsidR="006D5367" w:rsidRPr="006D5367">
        <w:rPr>
          <w:rFonts w:ascii="Arial" w:hAnsi="Arial" w:cs="Arial"/>
          <w:sz w:val="24"/>
          <w:szCs w:val="24"/>
          <w:lang w:val="mn-MN"/>
        </w:rPr>
        <w:t>2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 мэргэжилтэн өргөдлүүдийг хүлээн авч </w:t>
      </w:r>
      <w:r w:rsidR="006D5367" w:rsidRPr="006D5367">
        <w:rPr>
          <w:rFonts w:ascii="Arial" w:hAnsi="Arial" w:cs="Arial"/>
          <w:sz w:val="24"/>
          <w:szCs w:val="24"/>
          <w:lang w:val="mn-MN"/>
        </w:rPr>
        <w:t xml:space="preserve">хуулийн хугацаанд нь 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шийдвэрлэсэн байна. </w:t>
      </w:r>
    </w:p>
    <w:p w:rsidR="006D5367" w:rsidRPr="006D5367" w:rsidRDefault="006D5367" w:rsidP="006D5367">
      <w:pPr>
        <w:pStyle w:val="ListParagraph"/>
        <w:numPr>
          <w:ilvl w:val="0"/>
          <w:numId w:val="1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>Тус газарт ирсэн өргөдөл гомдлоос 2</w:t>
      </w:r>
      <w:r w:rsidR="00B10C6E">
        <w:rPr>
          <w:rFonts w:ascii="Arial" w:hAnsi="Arial" w:cs="Arial"/>
          <w:sz w:val="24"/>
          <w:szCs w:val="24"/>
          <w:lang w:val="mn-MN"/>
        </w:rPr>
        <w:t>8 буюу 93</w:t>
      </w:r>
      <w:r w:rsidRPr="006D5367">
        <w:rPr>
          <w:rFonts w:ascii="Arial" w:hAnsi="Arial" w:cs="Arial"/>
          <w:sz w:val="24"/>
          <w:szCs w:val="24"/>
          <w:lang w:val="mn-MN"/>
        </w:rPr>
        <w:t>,</w:t>
      </w:r>
      <w:r w:rsidR="00B10C6E">
        <w:rPr>
          <w:rFonts w:ascii="Arial" w:hAnsi="Arial" w:cs="Arial"/>
          <w:sz w:val="24"/>
          <w:szCs w:val="24"/>
          <w:lang w:val="mn-MN"/>
        </w:rPr>
        <w:t>3</w:t>
      </w:r>
      <w:r w:rsidRPr="006D5367">
        <w:rPr>
          <w:rFonts w:ascii="Arial" w:hAnsi="Arial" w:cs="Arial"/>
          <w:sz w:val="24"/>
          <w:szCs w:val="24"/>
          <w:lang w:val="mn-MN"/>
        </w:rPr>
        <w:t>% нь хүний нөөцтэй холбоотой өргөдөл, нэг талархал, нэг гомдол ирсэн байна.</w:t>
      </w:r>
    </w:p>
    <w:p w:rsidR="006D5367" w:rsidRPr="006D5367" w:rsidRDefault="006D5367" w:rsidP="006D5367">
      <w:pPr>
        <w:pStyle w:val="ListParagraph"/>
        <w:numPr>
          <w:ilvl w:val="0"/>
          <w:numId w:val="1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>Тус газрын даргад өргөдөл гомдлын шийдвэрлэлтийн талаар сар тутамд танилцуулж байна.</w:t>
      </w:r>
    </w:p>
    <w:p w:rsidR="006D5367" w:rsidRPr="006D5367" w:rsidRDefault="0057740F" w:rsidP="006D5367">
      <w:pPr>
        <w:pStyle w:val="ListParagraph"/>
        <w:numPr>
          <w:ilvl w:val="0"/>
          <w:numId w:val="1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 xml:space="preserve">Нийслэлийн Засаг даргын 2013 оны 12 дугаар сарын 10-ны өдрийн А/1086 тоот </w:t>
      </w:r>
      <w:r w:rsidR="00D66113" w:rsidRPr="006D5367">
        <w:rPr>
          <w:rFonts w:ascii="Arial" w:hAnsi="Arial" w:cs="Arial"/>
          <w:sz w:val="24"/>
          <w:szCs w:val="24"/>
          <w:lang w:val="mn-MN"/>
        </w:rPr>
        <w:t xml:space="preserve">захирамжийн дагуу </w:t>
      </w:r>
      <w:r w:rsidR="006D5367" w:rsidRPr="006D5367">
        <w:rPr>
          <w:rFonts w:ascii="Arial" w:hAnsi="Arial" w:cs="Arial"/>
          <w:sz w:val="24"/>
          <w:szCs w:val="24"/>
          <w:lang w:val="mn-MN"/>
        </w:rPr>
        <w:t>шинээр орж ирсэн бү</w:t>
      </w:r>
      <w:r w:rsidR="00D66113" w:rsidRPr="006D5367">
        <w:rPr>
          <w:rFonts w:ascii="Arial" w:hAnsi="Arial" w:cs="Arial"/>
          <w:sz w:val="24"/>
          <w:szCs w:val="24"/>
          <w:lang w:val="mn-MN"/>
        </w:rPr>
        <w:t xml:space="preserve">х </w:t>
      </w:r>
      <w:r w:rsidR="001F0A33" w:rsidRPr="006D5367">
        <w:rPr>
          <w:rFonts w:ascii="Arial" w:hAnsi="Arial" w:cs="Arial"/>
          <w:sz w:val="24"/>
          <w:szCs w:val="24"/>
          <w:lang w:val="mn-MN"/>
        </w:rPr>
        <w:t xml:space="preserve">мэргэжилтнүүдэд нэгдсэн зөвлөгөө өгсөн, </w:t>
      </w:r>
      <w:r w:rsidR="00A945D6" w:rsidRPr="006D5367">
        <w:rPr>
          <w:rFonts w:ascii="Arial" w:hAnsi="Arial" w:cs="Arial"/>
          <w:sz w:val="24"/>
          <w:szCs w:val="24"/>
          <w:lang w:val="mn-MN"/>
        </w:rPr>
        <w:t>өргөдөл, гомдол хүлээн авсан мэргэжилтнүүдэд тухай бүр заавар, зөвлөгөө өгч ажиллаж байна.</w:t>
      </w:r>
      <w:r w:rsidR="006D5367" w:rsidRPr="006D5367">
        <w:rPr>
          <w:rFonts w:ascii="Arial" w:hAnsi="Arial" w:cs="Arial"/>
          <w:sz w:val="24"/>
          <w:szCs w:val="24"/>
          <w:lang w:val="mn-MN"/>
        </w:rPr>
        <w:t xml:space="preserve"> Өргөдөл гомдлын шийдвэрлэлтийн хүрээнд мэргэжилтнүүдэд зөвлөгөө, зааварчилгааг тухай бүр өгөхөөс гадна газрын дотоод фэйсбүүк хуудсанд, мөн мессенжер хаягаар шийдвэрлэлтийн явц бичих, шийдвэрлэх талаар сануулж байна. </w:t>
      </w:r>
    </w:p>
    <w:p w:rsidR="006D5367" w:rsidRPr="006D5367" w:rsidRDefault="006D5367" w:rsidP="006D5367">
      <w:pPr>
        <w:pStyle w:val="ListParagraph"/>
        <w:numPr>
          <w:ilvl w:val="0"/>
          <w:numId w:val="1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>Иргэд хүлээн авах төвөөс зохион байгуулсан өргөдөл гомдлын програмын тухай сургалтад 2016 оны 03-р сарын 02-ны өдөр тус газрын 3 мэргэжилтэн хамрагдав.</w:t>
      </w:r>
    </w:p>
    <w:p w:rsidR="006D5367" w:rsidRDefault="006D5367" w:rsidP="006D5367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>- 2016.06.20-ны 09-12 цагуудад Нийслэлийн нэгдсэн үйлчилгээний дүнжингарав салбарт Нийслэлийн нэгдсэн үйлчилгээний төвөөс зохион байгуулсан өргөдөл, гомдлын програмын хүрээнд зохион байгуулсан сургалтад архив, бичиг хэргийн эрхлэгч Ө.Ариунтунгалаг хамрагдлаа.</w:t>
      </w:r>
    </w:p>
    <w:p w:rsidR="00B10C6E" w:rsidRDefault="00B10C6E" w:rsidP="006D5367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- 2016.10.26-ны</w:t>
      </w:r>
      <w:r w:rsidR="00252083">
        <w:rPr>
          <w:rFonts w:ascii="Arial" w:hAnsi="Arial" w:cs="Arial"/>
          <w:sz w:val="24"/>
          <w:szCs w:val="24"/>
          <w:lang w:val="mn-MN"/>
        </w:rPr>
        <w:t xml:space="preserve"> 10 цагт нийслэлийн Нэгдсэн үйлчилгээний Дүнжингарав салбарт нийслэлийн Нэгдсэн үйлчилгээний төвөөс зохион байгуулсан өргөдөл, гомдлын сургалтад тус газрын мэргэжилтэн А.Эрдэнэцогт хамрагдсан.</w:t>
      </w:r>
    </w:p>
    <w:p w:rsidR="00252083" w:rsidRDefault="00252083" w:rsidP="006D5367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- 2016.11.30-ны 09-14 цагт нийслэлийн Архивын газраас зохион байгуулсан сургалтад тус газрын архив, бичиг хэргийн </w:t>
      </w:r>
      <w:r w:rsidR="00946B5B" w:rsidRPr="006D5367">
        <w:rPr>
          <w:rFonts w:ascii="Arial" w:hAnsi="Arial" w:cs="Arial"/>
          <w:sz w:val="24"/>
          <w:szCs w:val="24"/>
          <w:lang w:val="mn-MN"/>
        </w:rPr>
        <w:t>эрхлэгч</w:t>
      </w:r>
      <w:r w:rsidR="00946B5B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Ө.Ариунтунгалаг болон Ч.Цэнгүүн нар хамрагдсан.</w:t>
      </w:r>
    </w:p>
    <w:p w:rsidR="00252083" w:rsidRDefault="00252083" w:rsidP="00252083">
      <w:pPr>
        <w:tabs>
          <w:tab w:val="left" w:pos="709"/>
        </w:tabs>
        <w:spacing w:after="1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 xml:space="preserve">7.  Тус газарт ирэх өргөдөл гомдлын тоо харьцангүй бага учраас тухайн програмын талаар өгөх санал хүсэлт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n-MN"/>
        </w:rPr>
        <w:t>байхгүй болно.</w:t>
      </w:r>
    </w:p>
    <w:p w:rsidR="00B10C6E" w:rsidRPr="006D5367" w:rsidRDefault="00B10C6E" w:rsidP="006D5367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  <w:szCs w:val="24"/>
          <w:lang w:val="mn-MN"/>
        </w:rPr>
      </w:pPr>
    </w:p>
    <w:p w:rsidR="00093BC0" w:rsidRPr="006D5367" w:rsidRDefault="00093BC0" w:rsidP="006D5367">
      <w:pPr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</w:p>
    <w:p w:rsidR="006D5367" w:rsidRDefault="006D5367" w:rsidP="006D5367">
      <w:pPr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</w:p>
    <w:p w:rsidR="004065AD" w:rsidRPr="006D5367" w:rsidRDefault="004065AD" w:rsidP="006D5367">
      <w:pPr>
        <w:tabs>
          <w:tab w:val="left" w:pos="993"/>
        </w:tabs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</w:p>
    <w:p w:rsidR="00A52DCF" w:rsidRDefault="00252083" w:rsidP="00252083">
      <w:pPr>
        <w:tabs>
          <w:tab w:val="left" w:pos="993"/>
        </w:tabs>
        <w:spacing w:after="1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101B2C" w:rsidRPr="006D5367">
        <w:rPr>
          <w:rFonts w:ascii="Arial" w:hAnsi="Arial" w:cs="Arial"/>
          <w:sz w:val="24"/>
          <w:szCs w:val="24"/>
          <w:lang w:val="mn-MN"/>
        </w:rPr>
        <w:t>ТАЙЛАН ГАРГАСАН:</w:t>
      </w:r>
    </w:p>
    <w:p w:rsidR="003330E2" w:rsidRPr="006D5367" w:rsidRDefault="003330E2" w:rsidP="006D5367">
      <w:pPr>
        <w:tabs>
          <w:tab w:val="left" w:pos="993"/>
        </w:tabs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</w:p>
    <w:p w:rsidR="00A52DCF" w:rsidRPr="006D5367" w:rsidRDefault="00A52DCF" w:rsidP="00252083">
      <w:pPr>
        <w:pStyle w:val="ListParagraph"/>
        <w:tabs>
          <w:tab w:val="left" w:pos="993"/>
        </w:tabs>
        <w:spacing w:after="0"/>
        <w:ind w:left="567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ab/>
        <w:t>АРХИВ, БИЧИГ ХЭРГИЙН</w:t>
      </w:r>
    </w:p>
    <w:p w:rsidR="0057740F" w:rsidRPr="006D5367" w:rsidRDefault="004065AD" w:rsidP="006D5367">
      <w:pPr>
        <w:pStyle w:val="ListParagraph"/>
        <w:tabs>
          <w:tab w:val="left" w:pos="993"/>
        </w:tabs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ab/>
      </w:r>
      <w:r w:rsidR="00A52DCF" w:rsidRPr="006D5367">
        <w:rPr>
          <w:rFonts w:ascii="Arial" w:hAnsi="Arial" w:cs="Arial"/>
          <w:sz w:val="24"/>
          <w:szCs w:val="24"/>
          <w:lang w:val="mn-MN"/>
        </w:rPr>
        <w:t xml:space="preserve">ЭРХЛЭГЧ           </w:t>
      </w:r>
      <w:r w:rsidR="00101B2C" w:rsidRPr="006D5367">
        <w:rPr>
          <w:rFonts w:ascii="Arial" w:hAnsi="Arial" w:cs="Arial"/>
          <w:sz w:val="24"/>
          <w:szCs w:val="24"/>
          <w:lang w:val="mn-MN"/>
        </w:rPr>
        <w:tab/>
      </w:r>
      <w:r w:rsidR="00101B2C" w:rsidRPr="006D5367">
        <w:rPr>
          <w:rFonts w:ascii="Arial" w:hAnsi="Arial" w:cs="Arial"/>
          <w:sz w:val="24"/>
          <w:szCs w:val="24"/>
          <w:lang w:val="mn-MN"/>
        </w:rPr>
        <w:tab/>
      </w:r>
      <w:r w:rsidR="00A52DCF" w:rsidRPr="006D5367">
        <w:rPr>
          <w:rFonts w:ascii="Arial" w:hAnsi="Arial" w:cs="Arial"/>
          <w:sz w:val="24"/>
          <w:szCs w:val="24"/>
          <w:lang w:val="mn-MN"/>
        </w:rPr>
        <w:t xml:space="preserve"> 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     </w:t>
      </w:r>
      <w:r w:rsidR="00A52DCF" w:rsidRPr="006D5367">
        <w:rPr>
          <w:rFonts w:ascii="Arial" w:hAnsi="Arial" w:cs="Arial"/>
          <w:sz w:val="24"/>
          <w:szCs w:val="24"/>
          <w:lang w:val="mn-MN"/>
        </w:rPr>
        <w:t xml:space="preserve">    </w:t>
      </w:r>
      <w:r w:rsidR="00252083">
        <w:rPr>
          <w:rFonts w:ascii="Arial" w:hAnsi="Arial" w:cs="Arial"/>
          <w:sz w:val="24"/>
          <w:szCs w:val="24"/>
          <w:lang w:val="mn-MN"/>
        </w:rPr>
        <w:tab/>
      </w:r>
      <w:r w:rsidR="00252083">
        <w:rPr>
          <w:rFonts w:ascii="Arial" w:hAnsi="Arial" w:cs="Arial"/>
          <w:sz w:val="24"/>
          <w:szCs w:val="24"/>
          <w:lang w:val="mn-MN"/>
        </w:rPr>
        <w:tab/>
      </w:r>
      <w:r w:rsidR="00252083">
        <w:rPr>
          <w:rFonts w:ascii="Arial" w:hAnsi="Arial" w:cs="Arial"/>
          <w:sz w:val="24"/>
          <w:szCs w:val="24"/>
          <w:lang w:val="mn-MN"/>
        </w:rPr>
        <w:tab/>
      </w:r>
      <w:r w:rsidR="00101B2C" w:rsidRPr="006D5367">
        <w:rPr>
          <w:rFonts w:ascii="Arial" w:hAnsi="Arial" w:cs="Arial"/>
          <w:sz w:val="24"/>
          <w:szCs w:val="24"/>
          <w:lang w:val="mn-MN"/>
        </w:rPr>
        <w:t xml:space="preserve"> Ө.АРИУНТУНГАЛАГ</w:t>
      </w:r>
    </w:p>
    <w:p w:rsidR="004065AD" w:rsidRPr="006D5367" w:rsidRDefault="004065AD" w:rsidP="006D5367">
      <w:pPr>
        <w:pStyle w:val="ListParagraph"/>
        <w:tabs>
          <w:tab w:val="left" w:pos="993"/>
        </w:tabs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</w:p>
    <w:p w:rsidR="003330E2" w:rsidRDefault="003330E2" w:rsidP="006D5367">
      <w:pPr>
        <w:tabs>
          <w:tab w:val="left" w:pos="993"/>
        </w:tabs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</w:p>
    <w:p w:rsidR="004065AD" w:rsidRPr="006D5367" w:rsidRDefault="004065AD" w:rsidP="006D5367">
      <w:pPr>
        <w:tabs>
          <w:tab w:val="left" w:pos="993"/>
        </w:tabs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>Огноо:</w:t>
      </w:r>
      <w:r w:rsidR="00252083">
        <w:rPr>
          <w:rFonts w:ascii="Arial" w:hAnsi="Arial" w:cs="Arial"/>
          <w:sz w:val="24"/>
          <w:szCs w:val="24"/>
          <w:lang w:val="mn-MN"/>
        </w:rPr>
        <w:t xml:space="preserve"> 2016.12</w:t>
      </w:r>
      <w:r w:rsidR="003330E2">
        <w:rPr>
          <w:rFonts w:ascii="Arial" w:hAnsi="Arial" w:cs="Arial"/>
          <w:sz w:val="24"/>
          <w:szCs w:val="24"/>
          <w:lang w:val="mn-MN"/>
        </w:rPr>
        <w:t>.</w:t>
      </w:r>
      <w:r w:rsidR="00252083">
        <w:rPr>
          <w:rFonts w:ascii="Arial" w:hAnsi="Arial" w:cs="Arial"/>
          <w:sz w:val="24"/>
          <w:szCs w:val="24"/>
          <w:lang w:val="mn-MN"/>
        </w:rPr>
        <w:t>28</w:t>
      </w:r>
    </w:p>
    <w:p w:rsidR="004065AD" w:rsidRPr="006D5367" w:rsidRDefault="004065AD" w:rsidP="006D5367">
      <w:pPr>
        <w:pStyle w:val="ListParagraph"/>
        <w:tabs>
          <w:tab w:val="left" w:pos="993"/>
        </w:tabs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</w:p>
    <w:sectPr w:rsidR="004065AD" w:rsidRPr="006D5367" w:rsidSect="00093BC0">
      <w:pgSz w:w="12240" w:h="15840"/>
      <w:pgMar w:top="1135" w:right="104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46570"/>
    <w:multiLevelType w:val="hybridMultilevel"/>
    <w:tmpl w:val="6332F41C"/>
    <w:lvl w:ilvl="0" w:tplc="3A0AF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4A"/>
    <w:rsid w:val="00052BFC"/>
    <w:rsid w:val="000767DD"/>
    <w:rsid w:val="00093A83"/>
    <w:rsid w:val="00093BC0"/>
    <w:rsid w:val="001016CC"/>
    <w:rsid w:val="00101B2C"/>
    <w:rsid w:val="001113E9"/>
    <w:rsid w:val="001143D1"/>
    <w:rsid w:val="0017734A"/>
    <w:rsid w:val="001A0BD5"/>
    <w:rsid w:val="001E381B"/>
    <w:rsid w:val="001E49DE"/>
    <w:rsid w:val="001E5053"/>
    <w:rsid w:val="001F038D"/>
    <w:rsid w:val="001F0A33"/>
    <w:rsid w:val="00212882"/>
    <w:rsid w:val="00212F8C"/>
    <w:rsid w:val="00215B47"/>
    <w:rsid w:val="00252083"/>
    <w:rsid w:val="002A50D0"/>
    <w:rsid w:val="0031165C"/>
    <w:rsid w:val="0031630B"/>
    <w:rsid w:val="003330E2"/>
    <w:rsid w:val="003B638E"/>
    <w:rsid w:val="003E17BD"/>
    <w:rsid w:val="004065AD"/>
    <w:rsid w:val="00427990"/>
    <w:rsid w:val="00436221"/>
    <w:rsid w:val="004821F5"/>
    <w:rsid w:val="00483F3B"/>
    <w:rsid w:val="004B0463"/>
    <w:rsid w:val="00500749"/>
    <w:rsid w:val="00523230"/>
    <w:rsid w:val="00526B93"/>
    <w:rsid w:val="0054433F"/>
    <w:rsid w:val="0057740F"/>
    <w:rsid w:val="005841EF"/>
    <w:rsid w:val="005907D0"/>
    <w:rsid w:val="005A4F2E"/>
    <w:rsid w:val="005D419D"/>
    <w:rsid w:val="005D6218"/>
    <w:rsid w:val="00605DC4"/>
    <w:rsid w:val="00607972"/>
    <w:rsid w:val="006529F7"/>
    <w:rsid w:val="006D5367"/>
    <w:rsid w:val="0075795E"/>
    <w:rsid w:val="00767437"/>
    <w:rsid w:val="007B1366"/>
    <w:rsid w:val="007C0D03"/>
    <w:rsid w:val="007D0549"/>
    <w:rsid w:val="007D199D"/>
    <w:rsid w:val="007D4B0C"/>
    <w:rsid w:val="007E50FE"/>
    <w:rsid w:val="007F7F4A"/>
    <w:rsid w:val="00802CA9"/>
    <w:rsid w:val="00825837"/>
    <w:rsid w:val="00837BC2"/>
    <w:rsid w:val="0084508E"/>
    <w:rsid w:val="008807EB"/>
    <w:rsid w:val="008856F4"/>
    <w:rsid w:val="00892E93"/>
    <w:rsid w:val="008C1DF4"/>
    <w:rsid w:val="0091797C"/>
    <w:rsid w:val="00946B5B"/>
    <w:rsid w:val="009C49C5"/>
    <w:rsid w:val="009E6537"/>
    <w:rsid w:val="009E6842"/>
    <w:rsid w:val="00A07AB2"/>
    <w:rsid w:val="00A52DCF"/>
    <w:rsid w:val="00A57FAF"/>
    <w:rsid w:val="00A60BC3"/>
    <w:rsid w:val="00A945D6"/>
    <w:rsid w:val="00AB1EC5"/>
    <w:rsid w:val="00AC6355"/>
    <w:rsid w:val="00B010A5"/>
    <w:rsid w:val="00B10C6E"/>
    <w:rsid w:val="00B12CAB"/>
    <w:rsid w:val="00B32C80"/>
    <w:rsid w:val="00C12444"/>
    <w:rsid w:val="00C230B9"/>
    <w:rsid w:val="00C638BD"/>
    <w:rsid w:val="00CB601C"/>
    <w:rsid w:val="00CD6BBA"/>
    <w:rsid w:val="00CE4543"/>
    <w:rsid w:val="00D07B0A"/>
    <w:rsid w:val="00D12E47"/>
    <w:rsid w:val="00D535E0"/>
    <w:rsid w:val="00D66113"/>
    <w:rsid w:val="00D84C36"/>
    <w:rsid w:val="00DD0EDE"/>
    <w:rsid w:val="00DD2F94"/>
    <w:rsid w:val="00E05BA6"/>
    <w:rsid w:val="00E067E9"/>
    <w:rsid w:val="00E21076"/>
    <w:rsid w:val="00E91A21"/>
    <w:rsid w:val="00ED2D2D"/>
    <w:rsid w:val="00F424AD"/>
    <w:rsid w:val="00F7355B"/>
    <w:rsid w:val="00F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Khaliun</dc:creator>
  <cp:lastModifiedBy>Khaliun</cp:lastModifiedBy>
  <cp:revision>4</cp:revision>
  <cp:lastPrinted>2017-01-02T03:16:00Z</cp:lastPrinted>
  <dcterms:created xsi:type="dcterms:W3CDTF">2017-01-02T02:38:00Z</dcterms:created>
  <dcterms:modified xsi:type="dcterms:W3CDTF">2017-01-02T03:20:00Z</dcterms:modified>
</cp:coreProperties>
</file>